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efinito"/>
        <w:widowControl w:val="false"/>
        <w:spacing w:lineRule="auto" w:line="276" w:before="0" w:after="200"/>
        <w:rPr>
          <w:rFonts w:ascii="Ubuntu" w:hAnsi="Ubuntu"/>
        </w:rPr>
      </w:pPr>
      <w:r>
        <w:rPr>
          <w:rFonts w:ascii="Ubuntu" w:hAnsi="Ubuntu"/>
          <w:sz w:val="22"/>
        </w:rPr>
        <w:t xml:space="preserve">Spett.le </w:t>
      </w:r>
    </w:p>
    <w:p>
      <w:pPr>
        <w:pStyle w:val="Predefinito"/>
        <w:widowControl w:val="false"/>
        <w:spacing w:lineRule="auto" w:line="276" w:before="0" w:after="200"/>
        <w:rPr>
          <w:rFonts w:ascii="Ubuntu" w:hAnsi="Ubuntu"/>
        </w:rPr>
      </w:pPr>
      <w:r>
        <w:rPr>
          <w:rFonts w:ascii="Ubuntu" w:hAnsi="Ubuntu"/>
          <w:sz w:val="22"/>
          <w:highlight w:val="yellow"/>
        </w:rPr>
        <w:t>Creditore  xxxxxxxxxx (Banca, Agenzia delle Entrate, Comune, etc.)</w:t>
      </w:r>
    </w:p>
    <w:p>
      <w:pPr>
        <w:pStyle w:val="Predefinito"/>
        <w:widowControl w:val="false"/>
        <w:spacing w:lineRule="auto" w:line="276" w:before="0" w:after="200"/>
        <w:rPr>
          <w:rFonts w:ascii="Ubuntu" w:hAnsi="Ubuntu"/>
        </w:rPr>
      </w:pPr>
      <w:r>
        <w:rPr>
          <w:rFonts w:ascii="Ubuntu" w:hAnsi="Ubuntu"/>
          <w:sz w:val="22"/>
          <w:highlight w:val="yellow"/>
        </w:rPr>
        <w:t>(indirizzo) (Città )</w:t>
      </w:r>
    </w:p>
    <w:p>
      <w:pPr>
        <w:pStyle w:val="Predefinito"/>
        <w:widowControl w:val="false"/>
        <w:spacing w:lineRule="auto" w:line="276" w:before="0" w:after="200"/>
        <w:rPr>
          <w:rFonts w:ascii="Ubuntu" w:hAnsi="Ubuntu"/>
        </w:rPr>
      </w:pPr>
      <w:r>
        <w:rPr>
          <w:rFonts w:ascii="Ubuntu" w:hAnsi="Ubuntu"/>
          <w:sz w:val="22"/>
          <w:highlight w:val="yellow"/>
        </w:rPr>
        <w:t>PEC: (xxxxxxxxxxxxxxxx)</w:t>
      </w:r>
    </w:p>
    <w:p>
      <w:pPr>
        <w:pStyle w:val="Corpodeltesto"/>
        <w:widowControl w:val="false"/>
        <w:spacing w:lineRule="auto" w:line="276" w:before="0" w:after="200"/>
        <w:rPr/>
      </w:pPr>
      <w:r>
        <w:rPr>
          <w:rFonts w:ascii="Ubuntu" w:hAnsi="Ubuntu"/>
        </w:rPr>
        <w:t>e per notifica:</w:t>
      </w:r>
    </w:p>
    <w:p>
      <w:pPr>
        <w:pStyle w:val="Corpodeltesto"/>
        <w:rPr/>
      </w:pPr>
      <w:r>
        <w:rPr>
          <w:rFonts w:ascii="Ubuntu" w:hAnsi="Ubuntu"/>
        </w:rPr>
        <w:t xml:space="preserve">- Catasto Monetario Europeo (Scriptural EUR Blockchain) </w:t>
      </w:r>
      <w:hyperlink r:id="rId2">
        <w:r>
          <w:rPr>
            <w:rStyle w:val="InternetLink"/>
            <w:rFonts w:ascii="Ubuntu" w:hAnsi="Ubuntu"/>
          </w:rPr>
          <w:t>catastomonetarioeuropeo@gmail.com</w:t>
        </w:r>
      </w:hyperlink>
    </w:p>
    <w:p>
      <w:pPr>
        <w:pStyle w:val="Corpodeltesto"/>
        <w:widowControl w:val="false"/>
        <w:spacing w:lineRule="auto" w:line="276" w:before="0" w:after="200"/>
        <w:rPr/>
      </w:pPr>
      <w:r>
        <w:rPr>
          <w:rFonts w:ascii="Ubuntu" w:hAnsi="Ubuntu"/>
        </w:rPr>
        <w:t xml:space="preserve">- </w:t>
      </w:r>
      <w:r>
        <w:rPr>
          <w:rFonts w:ascii="Ubuntu" w:hAnsi="Ubuntu"/>
        </w:rPr>
        <w:t>Banca d’Italia</w:t>
      </w:r>
    </w:p>
    <w:p>
      <w:pPr>
        <w:pStyle w:val="Corpodeltesto"/>
        <w:widowControl w:val="false"/>
        <w:spacing w:lineRule="auto" w:line="276" w:before="0" w:after="200"/>
        <w:rPr>
          <w:rFonts w:ascii="Ubuntu" w:hAnsi="Ubuntu"/>
        </w:rPr>
      </w:pPr>
      <w:hyperlink r:id="rId3">
        <w:r>
          <w:rPr>
            <w:rStyle w:val="CollegamentoInternet"/>
            <w:rFonts w:ascii="Ubuntu" w:hAnsi="Ubuntu"/>
          </w:rPr>
          <w:t>bancaditalia@pec.bancaditalia.it</w:t>
        </w:r>
      </w:hyperlink>
    </w:p>
    <w:p>
      <w:pPr>
        <w:pStyle w:val="Corpodeltesto"/>
        <w:rPr/>
      </w:pPr>
      <w:r>
        <w:rPr>
          <w:rFonts w:ascii="Ubuntu" w:hAnsi="Ubuntu"/>
        </w:rPr>
        <w:t xml:space="preserve">In relazione al vostro preteso credito di €  </w:t>
      </w:r>
      <w:r>
        <w:rPr>
          <w:rStyle w:val="Enfasiforte"/>
          <w:rFonts w:ascii="Ubuntu" w:hAnsi="Ubuntu"/>
          <w:sz w:val="22"/>
          <w:highlight w:val="yellow"/>
        </w:rPr>
        <w:t xml:space="preserve">6.582,00 </w:t>
      </w:r>
      <w:r>
        <w:rPr>
          <w:rFonts w:ascii="Ubuntu" w:hAnsi="Ubuntu"/>
          <w:color w:val="auto"/>
          <w:sz w:val="22"/>
        </w:rPr>
        <w:t xml:space="preserve">di cui alla vostra richiesta di pagamento </w:t>
      </w:r>
      <w:r>
        <w:rPr>
          <w:rFonts w:ascii="Ubuntu" w:hAnsi="Ubuntu"/>
          <w:color w:val="auto"/>
          <w:sz w:val="22"/>
          <w:highlight w:val="yellow"/>
        </w:rPr>
        <w:t>(o decreto ingiuntivo o precetto)</w:t>
      </w:r>
      <w:r>
        <w:rPr>
          <w:rFonts w:ascii="Ubuntu" w:hAnsi="Ubuntu"/>
          <w:color w:val="auto"/>
          <w:sz w:val="22"/>
        </w:rPr>
        <w:t xml:space="preserve"> del …. (data), io sottoscritto</w:t>
      </w:r>
      <w:r>
        <w:rPr>
          <w:rFonts w:ascii="Ubuntu" w:hAnsi="Ubuntu"/>
          <w:color w:val="auto"/>
          <w:sz w:val="22"/>
          <w:highlight w:val="yellow"/>
        </w:rPr>
        <w:t xml:space="preserve">……… </w:t>
      </w:r>
      <w:r>
        <w:rPr>
          <w:rFonts w:ascii="Ubuntu" w:hAnsi="Ubuntu"/>
          <w:color w:val="auto"/>
          <w:sz w:val="22"/>
        </w:rPr>
        <w:t xml:space="preserve">CF </w:t>
      </w:r>
      <w:r>
        <w:rPr>
          <w:rFonts w:ascii="Ubuntu" w:hAnsi="Ubuntu"/>
          <w:color w:val="auto"/>
          <w:sz w:val="22"/>
          <w:highlight w:val="yellow"/>
        </w:rPr>
        <w:t>……</w:t>
      </w:r>
      <w:r>
        <w:rPr>
          <w:rFonts w:ascii="Ubuntu" w:hAnsi="Ubuntu"/>
          <w:color w:val="auto"/>
          <w:sz w:val="22"/>
        </w:rPr>
        <w:t>. residente in</w:t>
      </w:r>
      <w:r>
        <w:rPr>
          <w:rFonts w:ascii="Ubuntu" w:hAnsi="Ubuntu"/>
          <w:color w:val="auto"/>
          <w:sz w:val="22"/>
          <w:highlight w:val="yellow"/>
        </w:rPr>
        <w:t>…………………….</w:t>
      </w:r>
      <w:r>
        <w:rPr>
          <w:rFonts w:ascii="Ubuntu" w:hAnsi="Ubuntu"/>
          <w:color w:val="auto"/>
          <w:sz w:val="22"/>
        </w:rPr>
        <w:t>, salvis juribus,</w:t>
      </w:r>
    </w:p>
    <w:p>
      <w:pPr>
        <w:pStyle w:val="Corpodeltesto"/>
        <w:rPr>
          <w:rFonts w:ascii="Ubuntu" w:hAnsi="Ubuntu"/>
        </w:rPr>
      </w:pPr>
      <w:r>
        <w:rPr>
          <w:rFonts w:ascii="Ubuntu" w:hAnsi="Ubuntu"/>
        </w:rPr>
        <w:t>PREMESSO CHE:</w:t>
      </w:r>
    </w:p>
    <w:p>
      <w:pPr>
        <w:pStyle w:val="Corpodeltesto"/>
        <w:rPr/>
      </w:pPr>
      <w:r>
        <w:rPr>
          <w:rFonts w:ascii="Ubuntu" w:hAnsi="Ubuntu"/>
          <w:b/>
          <w:bCs/>
        </w:rPr>
        <w:t>1</w:t>
      </w:r>
      <w:r>
        <w:rPr>
          <w:rFonts w:ascii="Ubuntu" w:hAnsi="Ubuntu"/>
        </w:rPr>
        <w:t xml:space="preserve"> – Lo Stato, come pure BRI, BCE, EBA e KPMG, ammette e accetta la prassi con cui le banche commerciali creano moneta scritturale denominata e trattata come moneta legale (euro) nell’erogare prestiti e pagamenti (realizzando così un ricavo, seppur </w:t>
      </w:r>
      <w:r>
        <w:rPr>
          <w:rFonts w:ascii="Ubuntu" w:hAnsi="Ubuntu"/>
          <w:b/>
          <w:bCs/>
        </w:rPr>
        <w:t>non contabilizzato</w:t>
      </w:r>
      <w:r>
        <w:rPr>
          <w:rFonts w:ascii="Ubuntu" w:hAnsi="Ubuntu"/>
        </w:rPr>
        <w:t xml:space="preserve"> e pertanto </w:t>
      </w:r>
      <w:r>
        <w:rPr>
          <w:rFonts w:ascii="Ubuntu" w:hAnsi="Ubuntu"/>
          <w:b/>
          <w:bCs/>
        </w:rPr>
        <w:t>sottratto all’imposizione tributaria</w:t>
      </w:r>
      <w:r>
        <w:rPr>
          <w:rFonts w:ascii="Ubuntu" w:hAnsi="Ubuntu"/>
        </w:rPr>
        <w:t>);lrecentemente abbiamo avuto anche l’ammissione da parte della Banca d’Italia, in persona di Carmelo Barbagallo, capo della Vigilanza; l’ammis</w:t>
        <w:softHyphen/>
        <w:t>sione è avvenuta come risposta scritta a un’interrogazione dell’onorevole Alessio Mattia Villarosa, nella Commissione Finanze congiunta Camera-Senato del 17.01.17: vedi il vi</w:t>
        <w:softHyphen/>
        <w:t xml:space="preserve">deo all’indirizzo: </w:t>
      </w:r>
      <w:hyperlink r:id="rId4">
        <w:r>
          <w:rPr>
            <w:rStyle w:val="CollegamentoInternet"/>
            <w:rFonts w:ascii="Ubuntu" w:hAnsi="Ubuntu"/>
          </w:rPr>
          <w:t>https://www.youtube.com/watch?v=WPmObU-V4lk</w:t>
        </w:r>
      </w:hyperlink>
      <w:r>
        <w:rPr>
          <w:rFonts w:ascii="Ubuntu" w:hAnsi="Ubuntu"/>
        </w:rPr>
        <w:t xml:space="preserve"> ; la prassi della crea</w:t>
        <w:softHyphen/>
        <w:t>zione di “euro”, allo scoperto, mediante mera registrazione contabile fiat, è verità ufficiale.</w:t>
      </w:r>
    </w:p>
    <w:p>
      <w:pPr>
        <w:pStyle w:val="Corpodeltesto"/>
        <w:rPr>
          <w:rFonts w:ascii="Ubuntu" w:hAnsi="Ubuntu"/>
          <w:i w:val="false"/>
          <w:i w:val="false"/>
          <w:iCs w:val="false"/>
          <w:sz w:val="24"/>
          <w:szCs w:val="24"/>
        </w:rPr>
      </w:pPr>
      <w:r>
        <w:rPr>
          <w:rFonts w:ascii="Ubuntu" w:hAnsi="Ubuntu"/>
          <w:i w:val="false"/>
          <w:iCs w:val="false"/>
          <w:sz w:val="24"/>
          <w:szCs w:val="24"/>
        </w:rPr>
        <w:t>2 - Nel modo suddetto, le banche di credito (cioè non centrali) creano circa il 90% del money supply; questo vale anche nell’Eurozona, sebbene il TFUE (art. 128, c.1), riservi la creazione dell’euro al Sistema Europeo delle Banche Centrali; secondo i bollettini ufficiali della Banca d’Italia le banche di credito italiane creano mediamente 1.000 miliardi l’anno (Supplemento al Bollettino statistico pubblicato dalla Banca d’Italia, “Moneta e banche” https://www.bancaditalia.it/pubblicazioni/moneta-banche/2017-moneta/suppl_01_17.pdf in particolare Tavola 1.2.a; http://aic.camera.it/aic/scheda.html?numero=5/11277&amp;ramo=CAMERA&amp;leg=17</w:t>
      </w:r>
    </w:p>
    <w:p>
      <w:pPr>
        <w:pStyle w:val="Corpodeltesto"/>
        <w:rPr/>
      </w:pPr>
      <w:hyperlink r:id="rId5">
        <w:r>
          <w:rPr>
            <w:rStyle w:val="CollegamentoInternet"/>
            <w:rFonts w:ascii="Ubuntu" w:hAnsi="Ubuntu"/>
            <w:i w:val="false"/>
            <w:iCs w:val="false"/>
            <w:sz w:val="24"/>
            <w:szCs w:val="24"/>
          </w:rPr>
          <w:t>http://documenti.camera.it/leg17/resoconti/commissioni/bollettini/pdf/2017/05/04/leg.17.bol0812.data20170504.com06.pdf</w:t>
        </w:r>
      </w:hyperlink>
      <w:r>
        <w:rPr>
          <w:rFonts w:ascii="Ubuntu" w:hAnsi="Ubuntu"/>
          <w:i w:val="false"/>
          <w:iCs w:val="false"/>
          <w:sz w:val="24"/>
          <w:szCs w:val="24"/>
        </w:rPr>
        <w:t>).</w:t>
      </w:r>
    </w:p>
    <w:p>
      <w:pPr>
        <w:pStyle w:val="Corpodeltesto"/>
        <w:rPr/>
      </w:pPr>
      <w:r>
        <w:rPr>
          <w:rFonts w:ascii="Ubuntu" w:hAnsi="Ubuntu"/>
        </w:rPr>
        <w:t xml:space="preserve">3 - </w:t>
      </w:r>
      <w:r>
        <w:rPr>
          <w:rStyle w:val="Enfasiforte"/>
          <w:rFonts w:ascii="Ubuntu" w:hAnsi="Ubuntu"/>
        </w:rPr>
        <w:t xml:space="preserve">La BCE definisce la moneta creata contabilmente dalle banche (overnight deposits) non centrali come parte dell’aggregato monetario M1, assieme alle banconote, cioè alla moneta legale: </w:t>
      </w:r>
      <w:r>
        <w:rPr>
          <w:rStyle w:val="Enfasiforte"/>
          <w:rFonts w:ascii="Ubuntu" w:hAnsi="Ubuntu"/>
          <w:i/>
          <w:iCs/>
        </w:rPr>
        <w:t>«M1 is the sum of currency in circulation and overnight deposits»</w:t>
      </w:r>
      <w:r>
        <w:rPr>
          <w:rStyle w:val="Enfasiforte"/>
          <w:rFonts w:ascii="Ubuntu" w:hAnsi="Ubuntu"/>
        </w:rPr>
        <w:t xml:space="preserve"> https://www.ecb.europa.eu/stats/money_credit_banking/monetary_aggregates/html/index.en.html  E ancora: </w:t>
      </w:r>
      <w:r>
        <w:rPr>
          <w:rStyle w:val="Enfasiforte"/>
          <w:rFonts w:ascii="Ubuntu" w:hAnsi="Ubuntu"/>
          <w:i/>
          <w:iCs/>
        </w:rPr>
        <w:t>«Currency in circulation and overnight deposits are the most liquid instruments and form the narrow definition of money, referred to as M1.»</w:t>
      </w:r>
      <w:r>
        <w:rPr>
          <w:rStyle w:val="Enfasiforte"/>
          <w:rFonts w:ascii="Ubuntu" w:hAnsi="Ubuntu"/>
        </w:rPr>
        <w:t xml:space="preserve"> </w:t>
      </w:r>
      <w:hyperlink r:id="rId6">
        <w:r>
          <w:rPr>
            <w:rStyle w:val="Enfasiforte"/>
            <w:rFonts w:ascii="Ubuntu" w:hAnsi="Ubuntu"/>
          </w:rPr>
          <w:t>https://www.ecb.europa.eu/pub/pdf/other/mb199901_focus02.en.pdf?88a79e36c79bd7e919d8aa7f2204f7d5</w:t>
        </w:r>
        <w:r>
          <w:rPr>
            <w:rStyle w:val="CollegamentoInternet"/>
            <w:rFonts w:ascii="Ubuntu" w:hAnsi="Ubuntu"/>
          </w:rPr>
          <w:t>3</w:t>
        </w:r>
      </w:hyperlink>
      <w:r>
        <w:rPr>
          <w:rFonts w:ascii="Ubuntu" w:hAnsi="Ubuntu"/>
        </w:rPr>
        <w:t>.</w:t>
      </w:r>
    </w:p>
    <w:p>
      <w:pPr>
        <w:pStyle w:val="Corpodeltesto"/>
        <w:rPr/>
      </w:pPr>
      <w:r>
        <w:rPr>
          <w:rFonts w:ascii="Ubuntu" w:hAnsi="Ubuntu"/>
        </w:rPr>
        <w:t xml:space="preserve">4 - Così anche la Banca Mondiale:  </w:t>
      </w:r>
      <w:hyperlink r:id="rId7">
        <w:r>
          <w:rPr>
            <w:rStyle w:val="CollegamentoInternet"/>
            <w:rFonts w:ascii="Ubuntu" w:hAnsi="Ubuntu"/>
          </w:rPr>
          <w:t>http://blogs.worldbank.org/allaboutfinance/node/916</w:t>
        </w:r>
      </w:hyperlink>
      <w:r>
        <w:rPr>
          <w:rFonts w:ascii="Ubuntu" w:hAnsi="Ubuntu"/>
        </w:rPr>
        <w:t xml:space="preserve">: </w:t>
      </w:r>
      <w:r>
        <w:rPr>
          <w:rFonts w:ascii="Ubuntu" w:hAnsi="Ubuntu"/>
          <w:i/>
          <w:iCs/>
        </w:rPr>
        <w:t xml:space="preserve">“Issuing legal tender involves transactions whereby money is sold in exchange for other assets … … The proceeds </w:t>
      </w:r>
      <w:r>
        <w:rPr>
          <w:rFonts w:ascii="Ubuntu" w:hAnsi="Ubuntu"/>
          <w:i/>
          <w:iCs/>
          <w:u w:val="single"/>
        </w:rPr>
        <w:t>from money sales represent a form of income,</w:t>
      </w:r>
      <w:r>
        <w:rPr>
          <w:rFonts w:ascii="Ubuntu" w:hAnsi="Ubuntu"/>
          <w:i/>
          <w:iCs/>
        </w:rPr>
        <w:t xml:space="preserve"> specifically a “revenue income.” Issuing legal tender thus generates income to the issuer. Under current accounting practices, this income is (incorrectly) unreported in the income statement of the central bank and instead (incorrectly) set aside under the central bank’s “liabilities.” </w:t>
      </w:r>
    </w:p>
    <w:p>
      <w:pPr>
        <w:pStyle w:val="Corpodeltesto"/>
        <w:rPr/>
      </w:pPr>
      <w:r>
        <w:rPr>
          <w:rFonts w:ascii="Ubuntu" w:hAnsi="Ubuntu"/>
        </w:rPr>
        <w:t>(Emettere moneta legale implica transazioni in cui la moneta è venduta in cambio di altri cespiti… … I ricavi da vendita di moneta rappresentano una forma di ricavo, specificamente un “ricavo da rendita”. Nelle correnti pratiche contabili, questo ricavo è (scorrettamente) non riportato nella dichiarazione dei redditi della banca centrale e invece è (scorrettamente) messo da parte tra i “debiti” della banca centrale).</w:t>
      </w:r>
    </w:p>
    <w:p>
      <w:pPr>
        <w:pStyle w:val="Corpodeltesto"/>
        <w:rPr/>
      </w:pPr>
      <w:r>
        <w:rPr>
          <w:rFonts w:ascii="Ubuntu" w:hAnsi="Ubuntu"/>
        </w:rPr>
        <w:t>Passando alle banche di credito, il blog della Banca Mondiale continua (</w:t>
      </w:r>
      <w:hyperlink r:id="rId8">
        <w:r>
          <w:rPr>
            <w:rStyle w:val="CollegamentoInternet"/>
            <w:rFonts w:ascii="Ubuntu" w:hAnsi="Ubuntu"/>
          </w:rPr>
          <w:t>http://blogs.worldbank.org/allaboutfinance/node/917</w:t>
        </w:r>
      </w:hyperlink>
      <w:r>
        <w:rPr>
          <w:rFonts w:ascii="Ubuntu" w:hAnsi="Ubuntu"/>
        </w:rPr>
        <w:t>) riconoscendo che effettivamente le banche di credito creano la moneta che prestano, quindi non hanno bisogno di raccoglierla prima di prestarla. La moneta da loro creata costituisce, una volta ceduta ad altri soggetto, un potenziale debito, nel senso che il titolare di un attivo di conto corrente o di un assegno circolare potrebbe richiedere alla banca di pagarglielo in valuta legale, cioè banconote; ma ciò avviene in misura minima, anche a causa delle restrizioni di legge all’uso della valuta legale, sicché in pratica la valenza debitoria per le banche è trascurabile. Quindi nel bilancio la moneta creata dalle banche di credito dovrebbe essere contabilizzata come rendita, dedotta la quota di cui realisticamente potrebbe essere preteso il pagamento in banconote (</w:t>
      </w:r>
      <w:hyperlink r:id="rId9">
        <w:r>
          <w:rPr>
            <w:rStyle w:val="CollegamentoInternet"/>
            <w:rFonts w:ascii="Ubuntu" w:hAnsi="Ubuntu"/>
          </w:rPr>
          <w:t>http://blogs.worldbank.org/allaboutfinance/node/918</w:t>
        </w:r>
      </w:hyperlink>
      <w:r>
        <w:rPr>
          <w:rFonts w:ascii="Ubuntu" w:hAnsi="Ubuntu"/>
        </w:rPr>
        <w:t>).</w:t>
      </w:r>
    </w:p>
    <w:p>
      <w:pPr>
        <w:pStyle w:val="Corpodeltesto"/>
        <w:rPr/>
      </w:pPr>
      <w:r>
        <w:rPr>
          <w:rFonts w:ascii="Ubuntu" w:hAnsi="Ubuntu"/>
        </w:rPr>
        <w:t>Anche il sito della Bank of England, il 24.08.18, ha ammesso questa realtà, e che le banche di credito creano i depositi, ossia gli attivi di conto corrente, ossia la moneta, senza bisogno che questa sia in esse depositate da terzi: </w:t>
      </w:r>
      <w:r>
        <w:rPr>
          <w:rStyle w:val="Enfasi"/>
          <w:rFonts w:ascii="Ubuntu" w:hAnsi="Ubuntu"/>
        </w:rPr>
        <w:t>Banks, money and the zero lower bound</w:t>
      </w:r>
      <w:r>
        <w:rPr>
          <w:rFonts w:ascii="Ubuntu" w:hAnsi="Ubuntu"/>
        </w:rPr>
        <w:t> – Staff Working Paper No. 752, di Michael Kumhof and Xuan Wang, 24/08/18 (</w:t>
      </w:r>
      <w:hyperlink r:id="rId10">
        <w:r>
          <w:rPr>
            <w:rStyle w:val="CollegamentoInternet"/>
            <w:rFonts w:ascii="Ubuntu" w:hAnsi="Ubuntu"/>
          </w:rPr>
          <w:t>https://www.bankofengland.co.uk/working-paper/2018/banks-money-and-the-zero-lower-bound</w:t>
        </w:r>
      </w:hyperlink>
      <w:r>
        <w:rPr>
          <w:rFonts w:ascii="Ubuntu" w:hAnsi="Ubuntu"/>
        </w:rPr>
        <w:t>).</w:t>
      </w:r>
    </w:p>
    <w:p>
      <w:pPr>
        <w:pStyle w:val="Corpodeltesto"/>
        <w:rPr/>
      </w:pPr>
      <w:r>
        <w:rPr>
          <w:rFonts w:ascii="Ubuntu" w:hAnsi="Ubuntu"/>
        </w:rPr>
        <w:t>5 - Le istituzioni tributarie sono inadempienti al dovere di accertamento e tassazione dei redditi da creazione monetaria suddetti, e con tale inadempimento cagionano al Paese a ai singoli cittadini un gravissimo danno; e le banche sono inadempimenti al dovere di formulare bilanci corretti, di esporre i ricavi e redditi da creazione monetaria e di pagare le tasse su essi (le tasse sono dovute anche sui redditi illegittimi).</w:t>
      </w:r>
    </w:p>
    <w:p>
      <w:pPr>
        <w:pStyle w:val="Corpodeltesto"/>
        <w:rPr>
          <w:rFonts w:ascii="Ubuntu" w:hAnsi="Ubuntu"/>
        </w:rPr>
      </w:pPr>
      <w:r>
        <w:rPr>
          <w:rFonts w:ascii="Ubuntu" w:hAnsi="Ubuntu"/>
        </w:rPr>
        <w:t>6 - Questa facoltà delle banche non centrali di creare ed emettere euro scritturali (girali) in assenza di qualsiasi norma di legge che conferisca loro questa facoltà, e in contrasto con l’art. 128 TFUE, è riconosciuta in base al principio che ciò che non è proibito o riservato, è lecito (Tribunale di Bolzano, ord. 06/09/16 resa nell’ esecuzione forzata rg 216/14).</w:t>
      </w:r>
    </w:p>
    <w:p>
      <w:pPr>
        <w:pStyle w:val="Corpodeltesto"/>
        <w:rPr/>
      </w:pPr>
      <w:r>
        <w:rPr>
          <w:rFonts w:ascii="Ubuntu" w:hAnsi="Ubuntu"/>
        </w:rPr>
        <w:t xml:space="preserve">7 - Dato che gli Stati, le Banche Centrali, e le altre istituzioni competenti permettono alle banche di credito di creare moneta denominata come euro in assenza di norme di legge che lo autorizzino e in deroga all’art. 128 TFUE, in forza del </w:t>
      </w:r>
      <w:r>
        <w:rPr>
          <w:rStyle w:val="Enfasiforte"/>
          <w:rFonts w:ascii="Ubuntu" w:hAnsi="Ubuntu"/>
        </w:rPr>
        <w:t xml:space="preserve">principio di eguaglianza </w:t>
      </w:r>
      <w:r>
        <w:rPr>
          <w:rFonts w:ascii="Ubuntu" w:hAnsi="Ubuntu"/>
        </w:rPr>
        <w:t xml:space="preserve">sancito dall’art. 3 della Costituzione, tutti, non solo le banche, possono </w:t>
      </w:r>
      <w:r>
        <w:rPr>
          <w:rStyle w:val="Enfasiforte"/>
          <w:rFonts w:ascii="Ubuntu" w:hAnsi="Ubuntu"/>
        </w:rPr>
        <w:t xml:space="preserve">creare danaro </w:t>
      </w:r>
      <w:r>
        <w:rPr>
          <w:rFonts w:ascii="Ubuntu" w:hAnsi="Ubuntu"/>
        </w:rPr>
        <w:t xml:space="preserve">fiduciario denominato in euro (la semplice </w:t>
      </w:r>
      <w:r>
        <w:rPr>
          <w:rStyle w:val="Enfasiforte"/>
          <w:rFonts w:ascii="Ubuntu" w:hAnsi="Ubuntu"/>
        </w:rPr>
        <w:t xml:space="preserve">emissione contro denaro preesistente </w:t>
      </w:r>
      <w:r>
        <w:rPr>
          <w:rFonts w:ascii="Ubuntu" w:hAnsi="Ubuntu"/>
        </w:rPr>
        <w:t>è invece normata e limitata ai possidenti i requisiti di legge);</w:t>
      </w:r>
    </w:p>
    <w:p>
      <w:pPr>
        <w:pStyle w:val="Corpodeltesto"/>
        <w:rPr>
          <w:rFonts w:ascii="Ubuntu" w:hAnsi="Ubuntu"/>
        </w:rPr>
      </w:pPr>
      <w:r>
        <w:rPr>
          <w:rFonts w:ascii="Ubuntu" w:hAnsi="Ubuntu"/>
        </w:rPr>
        <w:tab/>
        <w:t>Tutto ciò premesso,</w:t>
      </w:r>
    </w:p>
    <w:p>
      <w:pPr>
        <w:pStyle w:val="Corpodeltesto"/>
        <w:rPr/>
      </w:pPr>
      <w:r>
        <w:rPr>
          <w:rFonts w:ascii="Ubuntu" w:hAnsi="Ubuntu"/>
        </w:rPr>
        <w:t xml:space="preserve">con la presente, e con scritturazione contabile di cui allego copia, in applicazione del principio enunciato dal suddetto Tribunale, </w:t>
      </w:r>
      <w:r>
        <w:rPr>
          <w:rStyle w:val="Enfasiforte"/>
          <w:rFonts w:ascii="Ubuntu" w:hAnsi="Ubuntu"/>
        </w:rPr>
        <w:t>cioè al medesimo titolo e al medesimo modo in cui voi avete creato il denaro che mi avete prestato, CREO _________________ euro scrittu</w:t>
        <w:softHyphen/>
        <w:t xml:space="preserve">rali e ve li bonifico, invitandovi a </w:t>
      </w:r>
      <w:r>
        <w:rPr>
          <w:rFonts w:ascii="Ubuntu" w:hAnsi="Ubuntu"/>
        </w:rPr>
        <w:t xml:space="preserve">contabilizzarli correttamente subito, </w:t>
      </w:r>
      <w:r>
        <w:rPr>
          <w:rStyle w:val="Enfasiforte"/>
          <w:rFonts w:ascii="Ubuntu" w:hAnsi="Ubuntu"/>
        </w:rPr>
        <w:t>a estinzione del vostro preteso credito, senza alcun riconoscimento del medesimo e con riserva di contestarlo nell’</w:t>
      </w:r>
      <w:r>
        <w:rPr>
          <w:rStyle w:val="Enfasiforte"/>
          <w:rFonts w:ascii="Ubuntu" w:hAnsi="Ubuntu"/>
          <w:i/>
          <w:iCs/>
        </w:rPr>
        <w:t>an</w:t>
      </w:r>
      <w:r>
        <w:rPr>
          <w:rStyle w:val="Enfasiforte"/>
          <w:rFonts w:ascii="Ubuntu" w:hAnsi="Ubuntu"/>
        </w:rPr>
        <w:t xml:space="preserve"> e nel </w:t>
      </w:r>
      <w:r>
        <w:rPr>
          <w:rStyle w:val="Enfasiforte"/>
          <w:rFonts w:ascii="Ubuntu" w:hAnsi="Ubuntu"/>
          <w:i/>
          <w:iCs/>
        </w:rPr>
        <w:t>quantum</w:t>
      </w:r>
      <w:r>
        <w:rPr>
          <w:rStyle w:val="Enfasiforte"/>
          <w:rFonts w:ascii="Ubuntu" w:hAnsi="Ubuntu"/>
        </w:rPr>
        <w:t>, richiedendo ogni spettante rim</w:t>
        <w:softHyphen/>
        <w:t>borso e risarcimento</w:t>
      </w:r>
      <w:r>
        <w:rPr>
          <w:rFonts w:ascii="Ubuntu" w:hAnsi="Ubuntu"/>
        </w:rPr>
        <w:t>.</w:t>
      </w:r>
    </w:p>
    <w:p>
      <w:pPr>
        <w:pStyle w:val="Predefinito"/>
        <w:widowControl w:val="false"/>
        <w:spacing w:lineRule="auto" w:line="276" w:before="0" w:after="200"/>
        <w:rPr/>
      </w:pPr>
      <w:r>
        <w:rPr>
          <w:rFonts w:ascii="Ubuntu" w:hAnsi="Ubuntu"/>
          <w:sz w:val="22"/>
        </w:rPr>
        <w:t xml:space="preserve">Cordiali saluti,  </w:t>
      </w:r>
    </w:p>
    <w:p>
      <w:pPr>
        <w:pStyle w:val="Predefinito"/>
        <w:widowControl w:val="false"/>
        <w:spacing w:lineRule="auto" w:line="276" w:before="0" w:after="200"/>
        <w:rPr/>
      </w:pPr>
      <w:r>
        <w:rPr>
          <w:rFonts w:ascii="Ubuntu" w:hAnsi="Ubuntu"/>
          <w:sz w:val="22"/>
          <w:highlight w:val="yellow"/>
        </w:rPr>
        <w:t>Mario Rossi</w:t>
      </w:r>
    </w:p>
    <w:p>
      <w:pPr>
        <w:pStyle w:val="Predefinito"/>
        <w:widowControl w:val="false"/>
        <w:spacing w:lineRule="auto" w:line="276" w:before="0" w:after="200"/>
        <w:rPr>
          <w:rStyle w:val="Enfasiforte"/>
          <w:rFonts w:ascii="Ubuntu" w:hAnsi="Ubuntu"/>
          <w:sz w:val="22"/>
          <w:highlight w:val="yellow"/>
        </w:rPr>
      </w:pPr>
      <w:r>
        <w:rPr>
          <w:rFonts w:ascii="Ubuntu" w:hAnsi="Ubuntu"/>
          <w:sz w:val="22"/>
          <w:highlight w:val="yellow"/>
        </w:rPr>
      </w:r>
    </w:p>
    <w:p>
      <w:pPr>
        <w:pStyle w:val="Corpodeltesto"/>
        <w:widowControl w:val="false"/>
        <w:spacing w:lineRule="auto" w:line="276" w:before="0" w:after="200"/>
        <w:rPr/>
      </w:pPr>
      <w:r>
        <w:rPr>
          <w:rStyle w:val="Enfasiforte"/>
          <w:sz w:val="20"/>
          <w:szCs w:val="20"/>
        </w:rPr>
        <w:t>Scrittura contabile di creazione e trasferimento euro scritturali</w:t>
      </w:r>
    </w:p>
    <w:p>
      <w:pPr>
        <w:pStyle w:val="Corpodeltesto"/>
        <w:rPr/>
      </w:pPr>
      <w:r>
        <w:rPr>
          <w:sz w:val="20"/>
          <w:szCs w:val="20"/>
          <w:highlight w:val="yellow"/>
        </w:rPr>
        <w:t>Mario Rossi C.F. ABCDES58E27H501B- P.I. 023456789</w:t>
      </w:r>
    </w:p>
    <w:p>
      <w:pPr>
        <w:pStyle w:val="Corpodeltesto"/>
        <w:rPr/>
      </w:pPr>
      <w:r>
        <w:rPr>
          <w:sz w:val="20"/>
          <w:szCs w:val="20"/>
        </w:rPr>
        <w:t>Esercizio giornale 2017</w:t>
        <w:br/>
      </w:r>
      <w:r>
        <w:rPr>
          <w:sz w:val="20"/>
          <w:szCs w:val="20"/>
          <w:highlight w:val="yellow"/>
        </w:rPr>
        <w:t>(se paga una società, aggiungere: “Esercizio bilancio 2017”)</w:t>
      </w:r>
      <w:r>
        <w:rPr>
          <w:sz w:val="20"/>
          <w:szCs w:val="20"/>
        </w:rPr>
        <w:br/>
        <w:t xml:space="preserve">Data registrazione </w:t>
      </w:r>
      <w:r>
        <w:rPr>
          <w:sz w:val="20"/>
          <w:szCs w:val="20"/>
          <w:highlight w:val="yellow"/>
        </w:rPr>
        <w:t>3 marzo 2017</w:t>
      </w:r>
      <w:r>
        <w:rPr>
          <w:sz w:val="20"/>
          <w:szCs w:val="20"/>
        </w:rPr>
        <w:br/>
        <w:t xml:space="preserve">Causale: Pagamento </w:t>
      </w:r>
      <w:r>
        <w:rPr>
          <w:sz w:val="20"/>
          <w:szCs w:val="20"/>
          <w:highlight w:val="yellow"/>
        </w:rPr>
        <w:t xml:space="preserve">residuo debito, interessi, spese a </w:t>
      </w:r>
      <w:r>
        <w:rPr>
          <w:sz w:val="22"/>
          <w:szCs w:val="20"/>
          <w:highlight w:val="yellow"/>
        </w:rPr>
        <w:t xml:space="preserve">(nome creditore) </w:t>
      </w:r>
      <w:r>
        <w:rPr>
          <w:sz w:val="20"/>
          <w:szCs w:val="20"/>
        </w:rPr>
        <w:br/>
        <w:t xml:space="preserve">Agente creatore: </w:t>
      </w:r>
      <w:r>
        <w:rPr>
          <w:sz w:val="20"/>
          <w:szCs w:val="20"/>
          <w:highlight w:val="yellow"/>
        </w:rPr>
        <w:t>Mario Rossi</w:t>
      </w:r>
    </w:p>
    <w:p>
      <w:pPr>
        <w:pStyle w:val="Corpodeltesto"/>
        <w:rPr>
          <w:sz w:val="20"/>
          <w:szCs w:val="20"/>
        </w:rPr>
      </w:pPr>
      <w:r>
        <w:rPr>
          <w:sz w:val="20"/>
          <w:szCs w:val="20"/>
        </w:rPr>
        <w:t xml:space="preserve">Data di ultima modifica:  </w:t>
      </w:r>
      <w:r>
        <w:rPr>
          <w:sz w:val="20"/>
          <w:szCs w:val="20"/>
          <w:highlight w:val="yellow"/>
        </w:rPr>
        <w:t>3 marzo 2017</w:t>
      </w:r>
    </w:p>
    <w:p>
      <w:pPr>
        <w:pStyle w:val="Corpodeltesto"/>
        <w:rPr/>
      </w:pPr>
      <w:r>
        <w:rPr>
          <w:sz w:val="20"/>
          <w:szCs w:val="20"/>
        </w:rPr>
        <w:t>Valuta scritturale: EUR</w:t>
      </w:r>
    </w:p>
    <w:tbl>
      <w:tblPr>
        <w:tblW w:w="5000" w:type="pct"/>
        <w:jc w:val="left"/>
        <w:tblInd w:w="28" w:type="dxa"/>
        <w:tblBorders/>
        <w:tblCellMar>
          <w:top w:w="28" w:type="dxa"/>
          <w:left w:w="28" w:type="dxa"/>
          <w:bottom w:w="28" w:type="dxa"/>
          <w:right w:w="28" w:type="dxa"/>
        </w:tblCellMar>
      </w:tblPr>
      <w:tblGrid>
        <w:gridCol w:w="2159"/>
        <w:gridCol w:w="2160"/>
        <w:gridCol w:w="2160"/>
        <w:gridCol w:w="2160"/>
      </w:tblGrid>
      <w:tr>
        <w:trPr>
          <w:tblHeader w:val="true"/>
        </w:trPr>
        <w:tc>
          <w:tcPr>
            <w:tcW w:w="2159" w:type="dxa"/>
            <w:tcBorders/>
            <w:shd w:fill="auto" w:val="clear"/>
            <w:vAlign w:val="center"/>
          </w:tcPr>
          <w:p>
            <w:pPr>
              <w:pStyle w:val="Contenutotabella"/>
              <w:rPr/>
            </w:pPr>
            <w:r>
              <w:rPr>
                <w:rStyle w:val="Enfasiforte"/>
              </w:rPr>
              <w:t>CONTI</w:t>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Contenutotabella"/>
              <w:rPr>
                <w:sz w:val="4"/>
                <w:szCs w:val="4"/>
              </w:rPr>
            </w:pPr>
            <w:r>
              <w:rPr>
                <w:sz w:val="4"/>
                <w:szCs w:val="4"/>
              </w:rPr>
            </w:r>
          </w:p>
        </w:tc>
      </w:tr>
      <w:tr>
        <w:trPr/>
        <w:tc>
          <w:tcPr>
            <w:tcW w:w="2159" w:type="dxa"/>
            <w:tcBorders/>
            <w:shd w:fill="auto" w:val="clear"/>
            <w:vAlign w:val="center"/>
          </w:tcPr>
          <w:p>
            <w:pPr>
              <w:pStyle w:val="Contenutotabella"/>
              <w:rPr/>
            </w:pPr>
            <w:r>
              <w:rPr/>
              <w:t>Conto</w:t>
            </w:r>
          </w:p>
        </w:tc>
        <w:tc>
          <w:tcPr>
            <w:tcW w:w="2160" w:type="dxa"/>
            <w:tcBorders/>
            <w:shd w:fill="auto" w:val="clear"/>
            <w:vAlign w:val="center"/>
          </w:tcPr>
          <w:p>
            <w:pPr>
              <w:pStyle w:val="Contenutotabella"/>
              <w:rPr/>
            </w:pPr>
            <w:r>
              <w:rPr/>
              <w:t>Descrizione</w:t>
            </w:r>
          </w:p>
        </w:tc>
        <w:tc>
          <w:tcPr>
            <w:tcW w:w="2160" w:type="dxa"/>
            <w:tcBorders/>
            <w:shd w:fill="auto" w:val="clear"/>
            <w:vAlign w:val="center"/>
          </w:tcPr>
          <w:p>
            <w:pPr>
              <w:pStyle w:val="Contenutotabella"/>
              <w:rPr/>
            </w:pPr>
            <w:r>
              <w:rPr/>
              <w:t>Dare</w:t>
            </w:r>
          </w:p>
        </w:tc>
        <w:tc>
          <w:tcPr>
            <w:tcW w:w="2160" w:type="dxa"/>
            <w:tcBorders/>
            <w:shd w:fill="auto" w:val="clear"/>
            <w:vAlign w:val="center"/>
          </w:tcPr>
          <w:p>
            <w:pPr>
              <w:pStyle w:val="Contenutotabella"/>
              <w:rPr/>
            </w:pPr>
            <w:r>
              <w:rPr/>
              <w:t>Avere</w:t>
            </w:r>
          </w:p>
        </w:tc>
      </w:tr>
      <w:tr>
        <w:trPr/>
        <w:tc>
          <w:tcPr>
            <w:tcW w:w="2159" w:type="dxa"/>
            <w:tcBorders/>
            <w:shd w:fill="auto" w:val="clear"/>
            <w:vAlign w:val="center"/>
          </w:tcPr>
          <w:p>
            <w:pPr>
              <w:pStyle w:val="Contenutotabella"/>
              <w:rPr/>
            </w:pPr>
            <w:r>
              <w:rPr/>
              <w:t>Cassa moneta scritturale</w:t>
            </w:r>
          </w:p>
        </w:tc>
        <w:tc>
          <w:tcPr>
            <w:tcW w:w="2160" w:type="dxa"/>
            <w:tcBorders/>
            <w:shd w:fill="auto" w:val="clear"/>
            <w:vAlign w:val="center"/>
          </w:tcPr>
          <w:p>
            <w:pPr>
              <w:pStyle w:val="Predefinito"/>
              <w:widowControl w:val="false"/>
              <w:spacing w:lineRule="auto" w:line="276" w:before="0" w:after="200"/>
              <w:rPr>
                <w:sz w:val="22"/>
              </w:rPr>
            </w:pPr>
            <w:r>
              <w:rPr>
                <w:sz w:val="22"/>
              </w:rPr>
            </w:r>
          </w:p>
        </w:tc>
        <w:tc>
          <w:tcPr>
            <w:tcW w:w="2160" w:type="dxa"/>
            <w:tcBorders/>
            <w:shd w:fill="auto" w:val="clear"/>
            <w:vAlign w:val="center"/>
          </w:tcPr>
          <w:p>
            <w:pPr>
              <w:pStyle w:val="Predefinito"/>
              <w:widowControl w:val="false"/>
              <w:spacing w:lineRule="auto" w:line="276" w:before="0" w:after="200"/>
              <w:rPr/>
            </w:pPr>
            <w:r>
              <w:rPr>
                <w:sz w:val="22"/>
              </w:rPr>
              <w:t xml:space="preserve"> </w:t>
            </w:r>
            <w:r>
              <w:rPr>
                <w:sz w:val="22"/>
                <w:highlight w:val="yellow"/>
              </w:rPr>
              <w:t>6.582,00</w:t>
            </w:r>
          </w:p>
        </w:tc>
        <w:tc>
          <w:tcPr>
            <w:tcW w:w="2160" w:type="dxa"/>
            <w:tcBorders/>
            <w:shd w:fill="auto" w:val="clear"/>
            <w:vAlign w:val="center"/>
          </w:tcPr>
          <w:p>
            <w:pPr>
              <w:pStyle w:val="Contenutotabella"/>
              <w:rPr>
                <w:sz w:val="4"/>
                <w:szCs w:val="4"/>
              </w:rPr>
            </w:pPr>
            <w:r>
              <w:rPr>
                <w:sz w:val="4"/>
                <w:szCs w:val="4"/>
              </w:rPr>
            </w:r>
          </w:p>
        </w:tc>
      </w:tr>
      <w:tr>
        <w:trPr/>
        <w:tc>
          <w:tcPr>
            <w:tcW w:w="2159" w:type="dxa"/>
            <w:tcBorders/>
            <w:shd w:fill="auto" w:val="clear"/>
            <w:vAlign w:val="center"/>
          </w:tcPr>
          <w:p>
            <w:pPr>
              <w:pStyle w:val="Contenutotabella"/>
              <w:rPr/>
            </w:pPr>
            <w:r>
              <w:rPr/>
              <w:t>Ricavi da creazione di moneta scritturale</w:t>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Predefinito"/>
              <w:widowControl w:val="false"/>
              <w:spacing w:lineRule="auto" w:line="276" w:before="0" w:after="200"/>
              <w:rPr/>
            </w:pPr>
            <w:r>
              <w:rPr>
                <w:sz w:val="22"/>
              </w:rPr>
              <w:t xml:space="preserve"> </w:t>
            </w:r>
            <w:r>
              <w:rPr>
                <w:sz w:val="22"/>
                <w:highlight w:val="yellow"/>
              </w:rPr>
              <w:t>6.582,00</w:t>
            </w:r>
          </w:p>
        </w:tc>
      </w:tr>
      <w:tr>
        <w:trPr/>
        <w:tc>
          <w:tcPr>
            <w:tcW w:w="2159" w:type="dxa"/>
            <w:tcBorders/>
            <w:shd w:fill="auto" w:val="clear"/>
            <w:vAlign w:val="center"/>
          </w:tcPr>
          <w:p>
            <w:pPr>
              <w:pStyle w:val="Contenutotabella"/>
              <w:rPr/>
            </w:pPr>
            <w:r>
              <w:rPr>
                <w:rStyle w:val="Enfasiforte"/>
              </w:rPr>
              <w:t>CONTI</w:t>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Contenutotabella"/>
              <w:rPr>
                <w:sz w:val="4"/>
                <w:szCs w:val="4"/>
              </w:rPr>
            </w:pPr>
            <w:r>
              <w:rPr>
                <w:sz w:val="4"/>
                <w:szCs w:val="4"/>
              </w:rPr>
            </w:r>
          </w:p>
        </w:tc>
      </w:tr>
      <w:tr>
        <w:trPr/>
        <w:tc>
          <w:tcPr>
            <w:tcW w:w="2159" w:type="dxa"/>
            <w:tcBorders/>
            <w:shd w:fill="auto" w:val="clear"/>
            <w:vAlign w:val="center"/>
          </w:tcPr>
          <w:p>
            <w:pPr>
              <w:pStyle w:val="Contenutotabella"/>
              <w:rPr/>
            </w:pPr>
            <w:r>
              <w:rPr/>
              <w:t xml:space="preserve">Debito verso </w:t>
            </w:r>
            <w:r>
              <w:rPr>
                <w:highlight w:val="yellow"/>
              </w:rPr>
              <w:t>xxxxxx</w:t>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Predefinito"/>
              <w:widowControl w:val="false"/>
              <w:spacing w:lineRule="auto" w:line="276" w:before="0" w:after="200"/>
              <w:rPr/>
            </w:pPr>
            <w:r>
              <w:rPr>
                <w:sz w:val="22"/>
              </w:rPr>
              <w:t xml:space="preserve"> </w:t>
            </w:r>
            <w:r>
              <w:rPr>
                <w:sz w:val="22"/>
                <w:highlight w:val="yellow"/>
              </w:rPr>
              <w:t>6.582,00</w:t>
            </w:r>
          </w:p>
        </w:tc>
        <w:tc>
          <w:tcPr>
            <w:tcW w:w="2160" w:type="dxa"/>
            <w:tcBorders/>
            <w:shd w:fill="auto" w:val="clear"/>
            <w:vAlign w:val="center"/>
          </w:tcPr>
          <w:p>
            <w:pPr>
              <w:pStyle w:val="Contenutotabella"/>
              <w:rPr>
                <w:sz w:val="4"/>
                <w:szCs w:val="4"/>
              </w:rPr>
            </w:pPr>
            <w:r>
              <w:rPr>
                <w:sz w:val="4"/>
                <w:szCs w:val="4"/>
              </w:rPr>
            </w:r>
          </w:p>
        </w:tc>
      </w:tr>
      <w:tr>
        <w:trPr/>
        <w:tc>
          <w:tcPr>
            <w:tcW w:w="2159" w:type="dxa"/>
            <w:tcBorders/>
            <w:shd w:fill="auto" w:val="clear"/>
            <w:vAlign w:val="center"/>
          </w:tcPr>
          <w:p>
            <w:pPr>
              <w:pStyle w:val="Contenutotabella"/>
              <w:rPr/>
            </w:pPr>
            <w:r>
              <w:rPr/>
              <w:t>Cassa moneta scritturale</w:t>
            </w:r>
          </w:p>
        </w:tc>
        <w:tc>
          <w:tcPr>
            <w:tcW w:w="2160" w:type="dxa"/>
            <w:tcBorders/>
            <w:shd w:fill="auto" w:val="clear"/>
            <w:vAlign w:val="center"/>
          </w:tcPr>
          <w:p>
            <w:pPr>
              <w:pStyle w:val="Contenutotabella"/>
              <w:rPr>
                <w:sz w:val="4"/>
                <w:szCs w:val="4"/>
              </w:rPr>
            </w:pPr>
            <w:r>
              <w:rPr>
                <w:sz w:val="4"/>
                <w:szCs w:val="4"/>
              </w:rPr>
            </w:r>
          </w:p>
        </w:tc>
        <w:tc>
          <w:tcPr>
            <w:tcW w:w="2160" w:type="dxa"/>
            <w:tcBorders/>
            <w:shd w:fill="auto" w:val="clear"/>
            <w:vAlign w:val="center"/>
          </w:tcPr>
          <w:p>
            <w:pPr>
              <w:pStyle w:val="Contenutotabella"/>
              <w:rPr/>
            </w:pPr>
            <w:r>
              <w:rPr/>
            </w:r>
          </w:p>
        </w:tc>
        <w:tc>
          <w:tcPr>
            <w:tcW w:w="2160" w:type="dxa"/>
            <w:tcBorders/>
            <w:shd w:fill="auto" w:val="clear"/>
            <w:vAlign w:val="center"/>
          </w:tcPr>
          <w:p>
            <w:pPr>
              <w:pStyle w:val="Predefinito"/>
              <w:widowControl w:val="false"/>
              <w:spacing w:lineRule="auto" w:line="276" w:before="0" w:after="200"/>
              <w:rPr>
                <w:sz w:val="4"/>
                <w:szCs w:val="4"/>
              </w:rPr>
            </w:pPr>
            <w:r>
              <w:rPr>
                <w:sz w:val="22"/>
                <w:szCs w:val="4"/>
                <w:highlight w:val="yellow"/>
              </w:rPr>
              <w:t>6.582,00</w:t>
            </w:r>
          </w:p>
        </w:tc>
      </w:tr>
    </w:tbl>
    <w:p>
      <w:pPr>
        <w:pStyle w:val="Predefinito"/>
        <w:widowControl w:val="false"/>
        <w:spacing w:lineRule="auto" w:line="276" w:before="0" w:after="200"/>
        <w:rPr/>
      </w:pPr>
      <w:r>
        <w:rPr/>
      </w:r>
    </w:p>
    <w:p>
      <w:pPr>
        <w:pStyle w:val="Predefinito"/>
        <w:widowControl w:val="false"/>
        <w:spacing w:lineRule="auto" w:line="276" w:before="0" w:after="200"/>
        <w:rPr/>
      </w:pPr>
      <w:r>
        <w:rPr>
          <w:sz w:val="22"/>
        </w:rPr>
        <w:t xml:space="preserve">DATA                 IMPORTO CREATO a cassa           VERSATO A SALDO </w:t>
      </w:r>
    </w:p>
    <w:p>
      <w:pPr>
        <w:pStyle w:val="Predefinito"/>
        <w:widowControl w:val="false"/>
        <w:spacing w:lineRule="auto" w:line="276" w:before="0" w:after="200"/>
        <w:rPr/>
      </w:pPr>
      <w:r>
        <w:rPr>
          <w:sz w:val="22"/>
          <w:highlight w:val="yellow"/>
        </w:rPr>
        <w:t>16.02.17</w:t>
      </w:r>
      <w:r>
        <w:rPr>
          <w:sz w:val="22"/>
        </w:rPr>
        <w:t xml:space="preserve">             </w:t>
      </w:r>
      <w:r>
        <w:rPr>
          <w:sz w:val="22"/>
          <w:highlight w:val="yellow"/>
        </w:rPr>
        <w:t xml:space="preserve">6.582,00                                             </w:t>
      </w:r>
      <w:bookmarkStart w:id="0" w:name="__DdeLink__433_2107925869"/>
      <w:r>
        <w:rPr>
          <w:sz w:val="22"/>
          <w:highlight w:val="yellow"/>
        </w:rPr>
        <w:t xml:space="preserve">(nome creditore) </w:t>
      </w:r>
      <w:bookmarkEnd w:id="0"/>
      <w:r>
        <w:rPr>
          <w:sz w:val="22"/>
          <w:highlight w:val="yellow"/>
        </w:rPr>
        <w:t xml:space="preserve">      </w:t>
      </w:r>
      <w:r>
        <w:rPr>
          <w:sz w:val="22"/>
        </w:rPr>
        <w:t xml:space="preserve">         </w:t>
      </w:r>
    </w:p>
    <w:p>
      <w:pPr>
        <w:pStyle w:val="Predefinito"/>
        <w:widowControl w:val="false"/>
        <w:spacing w:lineRule="auto" w:line="276" w:before="0" w:after="200"/>
        <w:rPr/>
      </w:pPr>
      <w:r>
        <w:rPr>
          <w:sz w:val="22"/>
        </w:rPr>
        <w:t xml:space="preserve">CASSA                                                     DEBITI VERSO </w:t>
      </w:r>
      <w:r>
        <w:rPr>
          <w:sz w:val="22"/>
          <w:highlight w:val="yellow"/>
        </w:rPr>
        <w:t xml:space="preserve">(nome creditore) </w:t>
      </w:r>
    </w:p>
    <w:p>
      <w:pPr>
        <w:pStyle w:val="Predefinito"/>
        <w:widowControl w:val="false"/>
        <w:spacing w:lineRule="auto" w:line="276" w:before="0" w:after="200"/>
        <w:rPr/>
      </w:pPr>
      <w:r>
        <w:rPr>
          <w:sz w:val="22"/>
        </w:rPr>
        <w:t xml:space="preserve">Saldo iniziale  </w:t>
      </w:r>
      <w:r>
        <w:rPr>
          <w:sz w:val="22"/>
          <w:highlight w:val="yellow"/>
        </w:rPr>
        <w:t>0,00</w:t>
      </w:r>
    </w:p>
    <w:p>
      <w:pPr>
        <w:pStyle w:val="Predefinito"/>
        <w:widowControl w:val="false"/>
        <w:spacing w:lineRule="auto" w:line="276" w:before="0" w:after="200"/>
        <w:rPr/>
      </w:pPr>
      <w:r>
        <w:rPr>
          <w:sz w:val="22"/>
        </w:rPr>
        <w:t xml:space="preserve">CREAZIONE EURO + </w:t>
      </w:r>
      <w:r>
        <w:rPr>
          <w:sz w:val="22"/>
          <w:highlight w:val="yellow"/>
        </w:rPr>
        <w:t xml:space="preserve">6.582,00 </w:t>
      </w:r>
      <w:r>
        <w:rPr>
          <w:sz w:val="22"/>
        </w:rPr>
        <w:t xml:space="preserve">                PAGAM. </w:t>
      </w:r>
      <w:r>
        <w:rPr>
          <w:sz w:val="22"/>
          <w:highlight w:val="yellow"/>
        </w:rPr>
        <w:t xml:space="preserve">(nome creditore) </w:t>
      </w:r>
      <w:r>
        <w:rPr>
          <w:sz w:val="22"/>
        </w:rPr>
        <w:t xml:space="preserve">  </w:t>
      </w:r>
      <w:r>
        <w:rPr>
          <w:sz w:val="22"/>
          <w:highlight w:val="yellow"/>
        </w:rPr>
        <w:t>- 6.582,00</w:t>
      </w:r>
    </w:p>
    <w:p>
      <w:pPr>
        <w:pStyle w:val="Predefinito"/>
        <w:widowControl w:val="false"/>
        <w:spacing w:lineRule="auto" w:line="276" w:before="0" w:after="200"/>
        <w:rPr/>
      </w:pPr>
      <w:r>
        <w:rPr>
          <w:sz w:val="22"/>
        </w:rPr>
        <w:t xml:space="preserve">Saldo finale    </w:t>
      </w:r>
      <w:r>
        <w:rPr>
          <w:sz w:val="22"/>
          <w:highlight w:val="yellow"/>
        </w:rPr>
        <w:t>0,00</w:t>
      </w:r>
      <w:r>
        <w:rPr>
          <w:sz w:val="22"/>
        </w:rPr>
        <w:t xml:space="preserve">                                                                                            </w:t>
      </w:r>
    </w:p>
    <w:p>
      <w:pPr>
        <w:pStyle w:val="Predefinito"/>
        <w:widowControl w:val="false"/>
        <w:spacing w:lineRule="auto" w:line="276" w:before="0" w:after="200"/>
        <w:rPr/>
      </w:pPr>
      <w:r>
        <w:rPr/>
      </w:r>
    </w:p>
    <w:p>
      <w:pPr>
        <w:pStyle w:val="Normal"/>
        <w:spacing w:lineRule="auto" w:line="276" w:before="0" w:after="200"/>
        <w:rPr>
          <w:sz w:val="20"/>
          <w:szCs w:val="20"/>
        </w:rPr>
      </w:pPr>
      <w:r>
        <w:rPr>
          <w:rFonts w:ascii="Ubuntu" w:hAnsi="Ubuntu"/>
          <w:i/>
          <w:iCs/>
          <w:color w:val="00000A"/>
          <w:sz w:val="20"/>
          <w:szCs w:val="20"/>
        </w:rPr>
        <w:t xml:space="preserve">(   N.B. Bilancio: </w:t>
      </w:r>
      <w:r>
        <w:rPr>
          <w:rFonts w:ascii="Ubuntu" w:hAnsi="Ubuntu"/>
          <w:b/>
          <w:bCs/>
          <w:i/>
          <w:iCs/>
          <w:color w:val="00000A"/>
          <w:sz w:val="20"/>
          <w:szCs w:val="20"/>
        </w:rPr>
        <w:t>nel caso di società</w:t>
      </w:r>
      <w:r>
        <w:rPr>
          <w:rFonts w:ascii="Ubuntu" w:hAnsi="Ubuntu"/>
          <w:i/>
          <w:iCs/>
          <w:color w:val="00000A"/>
          <w:sz w:val="20"/>
          <w:szCs w:val="20"/>
        </w:rPr>
        <w:t xml:space="preserve"> che crea gli euro virtuali, le scritture corrette in partita doppia sono le seguenti:</w:t>
      </w:r>
    </w:p>
    <w:p>
      <w:pPr>
        <w:pStyle w:val="Predefinito"/>
        <w:numPr>
          <w:ilvl w:val="0"/>
          <w:numId w:val="1"/>
        </w:numPr>
        <w:spacing w:lineRule="auto" w:line="276" w:before="0" w:after="200"/>
        <w:rPr>
          <w:sz w:val="20"/>
          <w:szCs w:val="20"/>
        </w:rPr>
      </w:pPr>
      <w:r>
        <w:rPr>
          <w:rFonts w:ascii="Ubuntu" w:hAnsi="Ubuntu"/>
          <w:i/>
          <w:iCs/>
          <w:color w:val="00000A"/>
          <w:sz w:val="20"/>
          <w:szCs w:val="20"/>
        </w:rPr>
        <w:t>Creazione di moneta scritturale:</w:t>
      </w:r>
    </w:p>
    <w:p>
      <w:pPr>
        <w:pStyle w:val="Predefinito"/>
        <w:spacing w:lineRule="auto" w:line="276" w:before="0" w:after="200"/>
        <w:rPr>
          <w:i/>
          <w:i/>
          <w:iCs/>
        </w:rPr>
      </w:pPr>
      <w:r>
        <w:rPr>
          <w:rFonts w:ascii="Ubuntu" w:hAnsi="Ubuntu"/>
          <w:i/>
          <w:iCs/>
          <w:color w:val="00000A"/>
          <w:sz w:val="20"/>
          <w:szCs w:val="20"/>
        </w:rPr>
        <w:t xml:space="preserve">Cassa (attivo di Stato Patrimoniale)   a  Ricavi da creaz. Mon. (Ricavi di Conto Economico)   </w:t>
      </w:r>
      <w:r>
        <w:rPr>
          <w:rFonts w:ascii="Ubuntu" w:hAnsi="Ubuntu"/>
          <w:i/>
          <w:iCs/>
          <w:color w:val="00000A"/>
          <w:sz w:val="20"/>
          <w:szCs w:val="20"/>
          <w:highlight w:val="yellow"/>
        </w:rPr>
        <w:t xml:space="preserve"> € 6.582</w:t>
      </w:r>
    </w:p>
    <w:p>
      <w:pPr>
        <w:pStyle w:val="Predefinito"/>
        <w:widowControl w:val="false"/>
        <w:numPr>
          <w:ilvl w:val="0"/>
          <w:numId w:val="1"/>
        </w:numPr>
        <w:spacing w:lineRule="auto" w:line="276" w:before="0" w:after="200"/>
        <w:rPr/>
      </w:pPr>
      <w:r>
        <w:rPr>
          <w:rFonts w:ascii="Ubuntu" w:hAnsi="Ubuntu"/>
          <w:i/>
          <w:iCs/>
          <w:color w:val="00000A"/>
          <w:sz w:val="20"/>
          <w:szCs w:val="20"/>
        </w:rPr>
        <w:t xml:space="preserve">Pagamento al creditore del debito esistente pari ad € </w:t>
      </w:r>
      <w:r>
        <w:rPr>
          <w:rFonts w:ascii="Ubuntu" w:hAnsi="Ubuntu"/>
          <w:i/>
          <w:iCs/>
          <w:color w:val="00000A"/>
          <w:sz w:val="20"/>
          <w:szCs w:val="20"/>
          <w:highlight w:val="yellow"/>
        </w:rPr>
        <w:t>6.582</w:t>
      </w:r>
      <w:r>
        <w:rPr>
          <w:rFonts w:ascii="Ubuntu" w:hAnsi="Ubuntu"/>
          <w:i/>
          <w:iCs/>
          <w:color w:val="00000A"/>
          <w:sz w:val="20"/>
          <w:szCs w:val="20"/>
        </w:rPr>
        <w:t xml:space="preserve"> </w:t>
        <w:tab/>
      </w:r>
    </w:p>
    <w:p>
      <w:pPr>
        <w:pStyle w:val="Predefinito"/>
        <w:widowControl w:val="false"/>
        <w:numPr>
          <w:ilvl w:val="0"/>
          <w:numId w:val="1"/>
        </w:numPr>
        <w:spacing w:lineRule="auto" w:line="276" w:before="0" w:after="200"/>
        <w:rPr/>
      </w:pPr>
      <w:r>
        <w:rPr>
          <w:rFonts w:ascii="Ubuntu" w:hAnsi="Ubuntu"/>
          <w:i/>
          <w:iCs/>
          <w:color w:val="00000A"/>
          <w:sz w:val="20"/>
          <w:szCs w:val="20"/>
        </w:rPr>
        <w:t xml:space="preserve">Debito Vs. </w:t>
      </w:r>
      <w:bookmarkStart w:id="1" w:name="_GoBack"/>
      <w:bookmarkEnd w:id="1"/>
      <w:r>
        <w:rPr>
          <w:rFonts w:ascii="Ubuntu" w:hAnsi="Ubuntu"/>
          <w:i/>
          <w:iCs/>
          <w:color w:val="00000A"/>
          <w:sz w:val="20"/>
          <w:szCs w:val="20"/>
          <w:highlight w:val="yellow"/>
        </w:rPr>
        <w:t>CREDITORE</w:t>
      </w:r>
      <w:r>
        <w:rPr>
          <w:rFonts w:ascii="Ubuntu" w:hAnsi="Ubuntu"/>
          <w:i/>
          <w:iCs/>
          <w:color w:val="00000A"/>
          <w:sz w:val="20"/>
          <w:szCs w:val="20"/>
        </w:rPr>
        <w:t xml:space="preserve"> </w:t>
        <w:tab/>
        <w:t>a    Cassa</w:t>
        <w:tab/>
        <w:tab/>
      </w:r>
      <w:r>
        <w:rPr>
          <w:rFonts w:ascii="Ubuntu" w:hAnsi="Ubuntu"/>
          <w:i/>
          <w:iCs/>
          <w:color w:val="00000A"/>
          <w:sz w:val="20"/>
          <w:szCs w:val="20"/>
          <w:highlight w:val="yellow"/>
        </w:rPr>
        <w:t>€ 6.582</w:t>
      </w:r>
      <w:r>
        <w:rPr>
          <w:rFonts w:ascii="Ubuntu" w:hAnsi="Ubuntu"/>
          <w:i/>
          <w:iCs/>
          <w:color w:val="00000A"/>
          <w:sz w:val="20"/>
          <w:szCs w:val="20"/>
        </w:rPr>
        <w:t xml:space="preserve"> </w:t>
        <w:tab/>
        <w:t xml:space="preserve">  )</w:t>
      </w:r>
    </w:p>
    <w:p>
      <w:pPr>
        <w:pStyle w:val="Predefinito"/>
        <w:widowControl w:val="false"/>
        <w:spacing w:lineRule="auto" w:line="276" w:before="0" w:after="200"/>
        <w:jc w:val="center"/>
        <w:rPr/>
      </w:pPr>
      <w:r>
        <w:rPr>
          <w:rFonts w:ascii="Ubuntu" w:hAnsi="Ubuntu"/>
          <w:i w:val="false"/>
          <w:iCs w:val="false"/>
          <w:color w:val="00000A"/>
          <w:sz w:val="20"/>
          <w:szCs w:val="20"/>
        </w:rPr>
        <w:t>L’operazione di cui alla presente è stata notificata e registrata nel Catasto Monetario Europeo.</w:t>
      </w:r>
    </w:p>
    <w:sectPr>
      <w:type w:val="nextPage"/>
      <w:pgSz w:w="12240" w:h="15840"/>
      <w:pgMar w:left="1800" w:right="1800" w:header="0" w:top="1440" w:footer="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Ubuntu">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it-IT" w:eastAsia="zh-CN" w:bidi="hi-IN"/>
      </w:rPr>
    </w:rPrDefault>
    <w:pPrDefault>
      <w:pPr/>
    </w:pPrDefault>
  </w:docDefaults>
  <w:style w:type="paragraph" w:styleId="Normal">
    <w:name w:val="Normal"/>
    <w:qFormat/>
    <w:pPr>
      <w:widowControl w:val="false"/>
      <w:bidi w:val="0"/>
      <w:jc w:val="left"/>
    </w:pPr>
    <w:rPr>
      <w:rFonts w:ascii="Liberation Serif" w:hAnsi="Liberation Serif" w:eastAsia="Noto Sans CJK SC Regular" w:cs="FreeSans"/>
      <w:color w:val="00000A"/>
      <w:kern w:val="0"/>
      <w:sz w:val="24"/>
      <w:szCs w:val="24"/>
      <w:lang w:val="it-IT" w:eastAsia="zh-CN" w:bidi="hi-IN"/>
    </w:rPr>
  </w:style>
  <w:style w:type="character" w:styleId="InternetLink">
    <w:name w:val="Internet Link"/>
    <w:qFormat/>
    <w:rPr>
      <w:color w:val="000080"/>
      <w:u w:val="single"/>
      <w:lang w:val="zxx" w:eastAsia="zxx" w:bidi="zxx"/>
    </w:rPr>
  </w:style>
  <w:style w:type="character" w:styleId="Enfasiforte">
    <w:name w:val="Enfasi forte"/>
    <w:qFormat/>
    <w:rPr>
      <w:b/>
      <w:bCs/>
    </w:rPr>
  </w:style>
  <w:style w:type="character" w:styleId="CollegamentoInternet">
    <w:name w:val="Collegamento Internet"/>
    <w:qFormat/>
    <w:rPr>
      <w:color w:val="000080"/>
      <w:u w:val="single"/>
      <w:lang w:val="zxx" w:eastAsia="zxx" w:bidi="zxx"/>
    </w:rPr>
  </w:style>
  <w:style w:type="character" w:styleId="ListLabel1">
    <w:name w:val="ListLabel 1"/>
    <w:qFormat/>
    <w:rPr>
      <w:rFonts w:ascii="Ubuntu" w:hAnsi="Ubuntu"/>
    </w:rPr>
  </w:style>
  <w:style w:type="character" w:styleId="ListLabel2">
    <w:name w:val="ListLabel 2"/>
    <w:qFormat/>
    <w:rPr>
      <w:rFonts w:ascii="Ubuntu" w:hAnsi="Ubuntu"/>
    </w:rPr>
  </w:style>
  <w:style w:type="character" w:styleId="ListLabel3">
    <w:name w:val="ListLabel 3"/>
    <w:qFormat/>
    <w:rPr>
      <w:rFonts w:ascii="Ubuntu" w:hAnsi="Ubuntu"/>
    </w:rPr>
  </w:style>
  <w:style w:type="character" w:styleId="Enfasi">
    <w:name w:val="Enfasi"/>
    <w:qFormat/>
    <w:rPr>
      <w:i/>
      <w:iCs/>
    </w:rPr>
  </w:style>
  <w:style w:type="character" w:styleId="ListLabel4">
    <w:name w:val="ListLabel 4"/>
    <w:qFormat/>
    <w:rPr>
      <w:rFonts w:ascii="Ubuntu" w:hAnsi="Ubuntu"/>
    </w:rPr>
  </w:style>
  <w:style w:type="character" w:styleId="ListLabel5">
    <w:name w:val="ListLabel 5"/>
    <w:qFormat/>
    <w:rPr>
      <w:rFonts w:ascii="Ubuntu" w:hAnsi="Ubuntu"/>
    </w:rPr>
  </w:style>
  <w:style w:type="character" w:styleId="ListLabel6">
    <w:name w:val="ListLabel 6"/>
    <w:qFormat/>
    <w:rPr>
      <w:rFonts w:ascii="Ubuntu" w:hAnsi="Ubuntu"/>
      <w:i w:val="false"/>
      <w:iCs w:val="false"/>
      <w:sz w:val="24"/>
      <w:szCs w:val="24"/>
    </w:rPr>
  </w:style>
  <w:style w:type="character" w:styleId="ListLabel7">
    <w:name w:val="ListLabel 7"/>
    <w:qFormat/>
    <w:rPr>
      <w:rFonts w:ascii="Ubuntu" w:hAnsi="Ubuntu"/>
    </w:rPr>
  </w:style>
  <w:style w:type="character" w:styleId="ListLabel8">
    <w:name w:val="ListLabel 8"/>
    <w:qFormat/>
    <w:rPr>
      <w:rFonts w:ascii="Ubuntu" w:hAnsi="Ubuntu"/>
    </w:rPr>
  </w:style>
  <w:style w:type="character" w:styleId="ListLabel9">
    <w:name w:val="ListLabel 9"/>
    <w:qFormat/>
    <w:rPr>
      <w:rFonts w:ascii="Ubuntu" w:hAnsi="Ubuntu"/>
    </w:rPr>
  </w:style>
  <w:style w:type="character" w:styleId="ListLabel10">
    <w:name w:val="ListLabel 10"/>
    <w:qFormat/>
    <w:rPr>
      <w:rFonts w:ascii="Ubuntu" w:hAnsi="Ubuntu"/>
      <w:i w:val="false"/>
      <w:iCs w:val="false"/>
      <w:sz w:val="24"/>
      <w:szCs w:val="24"/>
    </w:rPr>
  </w:style>
  <w:style w:type="character" w:styleId="ListLabel11">
    <w:name w:val="ListLabel 11"/>
    <w:qFormat/>
    <w:rPr>
      <w:rFonts w:ascii="Ubuntu" w:hAnsi="Ubuntu"/>
    </w:rPr>
  </w:style>
  <w:style w:type="character" w:styleId="ListLabel12">
    <w:name w:val="ListLabel 12"/>
    <w:qFormat/>
    <w:rPr>
      <w:rFonts w:ascii="Ubuntu" w:hAnsi="Ubuntu"/>
    </w:rPr>
  </w:style>
  <w:style w:type="character" w:styleId="ListLabel13">
    <w:name w:val="ListLabel 13"/>
    <w:qFormat/>
    <w:rPr>
      <w:rFonts w:ascii="Ubuntu" w:hAnsi="Ubuntu"/>
    </w:rPr>
  </w:style>
  <w:style w:type="character" w:styleId="ListLabel14">
    <w:name w:val="ListLabel 14"/>
    <w:qFormat/>
    <w:rPr>
      <w:rFonts w:ascii="Ubuntu" w:hAnsi="Ubuntu"/>
      <w:i w:val="false"/>
      <w:iCs w:val="false"/>
      <w:sz w:val="24"/>
      <w:szCs w:val="24"/>
    </w:rPr>
  </w:style>
  <w:style w:type="character" w:styleId="ListLabel15">
    <w:name w:val="ListLabel 15"/>
    <w:qFormat/>
    <w:rPr>
      <w:rFonts w:ascii="Ubuntu" w:hAnsi="Ubuntu"/>
    </w:rPr>
  </w:style>
  <w:style w:type="paragraph" w:styleId="Titolo">
    <w:name w:val="Titolo"/>
    <w:basedOn w:val="Normal"/>
    <w:next w:val="Corpodeltesto"/>
    <w:qFormat/>
    <w:pPr>
      <w:keepNext w:val="true"/>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qFormat/>
    <w:pPr>
      <w:widowControl w:val="false"/>
      <w:bidi w:val="0"/>
      <w:spacing w:before="0" w:after="120"/>
      <w:jc w:val="left"/>
    </w:pPr>
    <w:rPr>
      <w:rFonts w:ascii="Liberation Serif" w:hAnsi="Liberation Serif" w:eastAsia="Arial" w:cs="FreeSans"/>
      <w:color w:val="00000A"/>
      <w:kern w:val="0"/>
      <w:sz w:val="20"/>
      <w:szCs w:val="24"/>
      <w:lang w:val="it-IT" w:eastAsia="zh-CN" w:bidi="hi-IN"/>
    </w:rPr>
  </w:style>
  <w:style w:type="paragraph" w:styleId="Didascalia">
    <w:name w:val="Caption"/>
    <w:basedOn w:val="Normal"/>
    <w:qFormat/>
    <w:pPr>
      <w:widowControl w:val="false"/>
      <w:bidi w:val="0"/>
      <w:spacing w:before="120" w:after="120"/>
      <w:jc w:val="left"/>
    </w:pPr>
    <w:rPr>
      <w:rFonts w:ascii="Liberation Serif" w:hAnsi="Liberation Serif" w:eastAsia="Arial" w:cs="FreeSans"/>
      <w:i/>
      <w:color w:val="00000A"/>
      <w:kern w:val="0"/>
      <w:sz w:val="24"/>
      <w:szCs w:val="24"/>
      <w:lang w:val="it-IT" w:eastAsia="zh-CN" w:bidi="hi-IN"/>
    </w:rPr>
  </w:style>
  <w:style w:type="paragraph" w:styleId="Indice">
    <w:name w:val="Indice"/>
    <w:basedOn w:val="Normal"/>
    <w:qFormat/>
    <w:pPr>
      <w:widowControl w:val="false"/>
      <w:bidi w:val="0"/>
      <w:jc w:val="left"/>
    </w:pPr>
    <w:rPr>
      <w:rFonts w:ascii="Liberation Serif" w:hAnsi="Liberation Serif" w:eastAsia="Arial" w:cs="FreeSans"/>
      <w:color w:val="auto"/>
      <w:kern w:val="0"/>
      <w:sz w:val="20"/>
      <w:szCs w:val="24"/>
      <w:lang w:val="it-IT" w:eastAsia="zh-CN" w:bidi="hi-IN"/>
    </w:rPr>
  </w:style>
  <w:style w:type="paragraph" w:styleId="Predefinito">
    <w:name w:val="Predefinito"/>
    <w:qFormat/>
    <w:pPr>
      <w:widowControl w:val="false"/>
      <w:bidi w:val="0"/>
      <w:jc w:val="left"/>
    </w:pPr>
    <w:rPr>
      <w:rFonts w:ascii="Calibri" w:hAnsi="Calibri" w:eastAsia="Calibri" w:cs="Calibri"/>
      <w:color w:val="000000"/>
      <w:kern w:val="0"/>
      <w:sz w:val="24"/>
      <w:szCs w:val="24"/>
      <w:lang w:val="it-IT" w:eastAsia="it-IT" w:bidi="hi-IN"/>
    </w:rPr>
  </w:style>
  <w:style w:type="paragraph" w:styleId="Intestazione">
    <w:name w:val="Header"/>
    <w:basedOn w:val="Predefinito"/>
    <w:qFormat/>
    <w:pPr>
      <w:keepNext w:val="true"/>
      <w:spacing w:before="240" w:after="120"/>
    </w:pPr>
    <w:rPr>
      <w:rFonts w:ascii="Arial" w:hAnsi="Arial" w:eastAsia="Arial" w:cs="Microsoft YaHei"/>
      <w:sz w:val="28"/>
    </w:rPr>
  </w:style>
  <w:style w:type="paragraph" w:styleId="Corpotesto">
    <w:name w:val="Corpo testo"/>
    <w:basedOn w:val="Predefinito"/>
    <w:qFormat/>
    <w:pPr>
      <w:spacing w:before="0" w:after="120"/>
    </w:pPr>
    <w:rPr/>
  </w:style>
  <w:style w:type="paragraph" w:styleId="Contenutotabella">
    <w:name w:val="Contenuto tabella"/>
    <w:basedOn w:val="Normal"/>
    <w:qFormat/>
    <w:pPr/>
    <w:rPr/>
  </w:style>
  <w:style w:type="paragraph" w:styleId="Titolotabella">
    <w:name w:val="Titolo tabella"/>
    <w:basedOn w:val="Contenutotabella"/>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tastomonetarioeuropeo@gmail.com" TargetMode="External"/><Relationship Id="rId3" Type="http://schemas.openxmlformats.org/officeDocument/2006/relationships/hyperlink" Target="mailto:consob@pec.consob.it" TargetMode="External"/><Relationship Id="rId4" Type="http://schemas.openxmlformats.org/officeDocument/2006/relationships/hyperlink" Target="https://www.youtube.com/watch?v=WPmObU-V4lk" TargetMode="External"/><Relationship Id="rId5" Type="http://schemas.openxmlformats.org/officeDocument/2006/relationships/hyperlink" Target="http://documenti.camera.it/leg17/resoconti/commissioni/bollettini/pdf/2017/05/04/leg.17.bol0812.data20170504.com06.pdf" TargetMode="External"/><Relationship Id="rId6" Type="http://schemas.openxmlformats.org/officeDocument/2006/relationships/hyperlink" Target="https://www.ecb.europa.eu/pub/pdf/other/mb199901_focus02.en.pdf?88a79e36c79bd7e919d8aa7f2204f7d53" TargetMode="External"/><Relationship Id="rId7" Type="http://schemas.openxmlformats.org/officeDocument/2006/relationships/hyperlink" Target="http://blogs.worldbank.org/allaboutfinance/node/916" TargetMode="External"/><Relationship Id="rId8" Type="http://schemas.openxmlformats.org/officeDocument/2006/relationships/hyperlink" Target="http://blogs.worldbank.org/allaboutfinance/node/917" TargetMode="External"/><Relationship Id="rId9" Type="http://schemas.openxmlformats.org/officeDocument/2006/relationships/hyperlink" Target="http://blogs.worldbank.org/allaboutfinance/node/918" TargetMode="External"/><Relationship Id="rId10" Type="http://schemas.openxmlformats.org/officeDocument/2006/relationships/hyperlink" Target="https://www.bankofengland.co.uk/working-paper/2018/banks-money-and-the-zero-lower-bound"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220</TotalTime>
  <Application>LibreOffice/6.0.7.3$Linux_X86_64 LibreOffice_project/00m0$Build-3</Application>
  <Pages>5</Pages>
  <Words>1114</Words>
  <Characters>7022</Characters>
  <CharactersWithSpaces>8377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2019-04-26T18:44:55Z</dcterms:modified>
  <cp:revision>74</cp:revision>
  <dc:subject/>
  <dc:title/>
</cp:coreProperties>
</file>